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200" w:after="200"/>
        <w:jc w:val="center"/>
        <w:rPr>
          <w:rFonts w:ascii="Times New Roman" w:hAnsi="Times New Roman" w:eastAsia="Times New Roman" w:cs="Times New Roman"/>
          <w:b/>
          <w:b/>
          <w:smallCaps/>
        </w:rPr>
      </w:pPr>
      <w:r>
        <w:rPr>
          <w:rFonts w:eastAsia="Times New Roman" w:cs="Times New Roman" w:ascii="Times New Roman" w:hAnsi="Times New Roman"/>
          <w:b/>
          <w:smallCaps/>
          <w:highlight w:val="white"/>
        </w:rPr>
        <w:t>ANEXO VII - INSTRUMENTO DE MEDIÇÃO DE RESULTADO</w:t>
      </w:r>
    </w:p>
    <w:p>
      <w:pPr>
        <w:pStyle w:val="Normal"/>
        <w:widowControl w:val="false"/>
        <w:spacing w:lineRule="auto" w:line="276" w:before="200" w:after="20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INSTITUTO FEDERAL CATARINENSE - CAMPUS XXXXXXX</w:t>
      </w:r>
    </w:p>
    <w:p>
      <w:pPr>
        <w:pStyle w:val="Normal"/>
        <w:widowControl w:val="false"/>
        <w:spacing w:lineRule="auto" w:line="276" w:before="200" w:after="20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PREGÃO ELETRÔNICO Nº 009/2018</w:t>
      </w:r>
    </w:p>
    <w:p>
      <w:pPr>
        <w:pStyle w:val="Normal"/>
        <w:widowControl w:val="false"/>
        <w:spacing w:lineRule="auto" w:line="276" w:before="200" w:after="200"/>
        <w:jc w:val="center"/>
        <w:rPr>
          <w:rFonts w:ascii="Times New Roman" w:hAnsi="Times New Roman" w:eastAsia="Times New Roman" w:cs="Times New Roman"/>
          <w:highlight w:val="yellow"/>
        </w:rPr>
      </w:pPr>
      <w:r>
        <w:rPr>
          <w:rFonts w:eastAsia="Arial" w:cs="Arial" w:ascii="Arial" w:hAnsi="Arial"/>
        </w:rPr>
        <w:t xml:space="preserve">(Processo Administrativo n.° </w:t>
      </w:r>
      <w:r>
        <w:rPr>
          <w:rFonts w:eastAsia="Arial" w:cs="Arial" w:ascii="Arial" w:hAnsi="Arial"/>
          <w:color w:val="00000A"/>
        </w:rPr>
        <w:t>23352.002854/2018-73</w:t>
      </w:r>
      <w:r>
        <w:rPr>
          <w:rFonts w:eastAsia="Arial" w:cs="Arial" w:ascii="Arial" w:hAnsi="Arial"/>
        </w:rPr>
        <w:t>)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CONTRATO Nº XX/XXXX</w:t>
      </w:r>
    </w:p>
    <w:tbl>
      <w:tblPr>
        <w:tblStyle w:val="Table1"/>
        <w:tblW w:w="9975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5550"/>
        <w:gridCol w:w="4424"/>
      </w:tblGrid>
      <w:tr>
        <w:trPr/>
        <w:tc>
          <w:tcPr>
            <w:tcW w:w="9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IDENTIFICAÇÃO DO FISCAL DO CONTRATO</w:t>
            </w:r>
          </w:p>
        </w:tc>
      </w:tr>
      <w:tr>
        <w:trPr/>
        <w:tc>
          <w:tcPr>
            <w:tcW w:w="5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Nome: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Matrícula SIAPE:</w:t>
            </w:r>
          </w:p>
        </w:tc>
      </w:tr>
      <w:tr>
        <w:trPr/>
        <w:tc>
          <w:tcPr>
            <w:tcW w:w="55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Portaria de designação do fiscal:</w:t>
            </w:r>
          </w:p>
        </w:tc>
        <w:tc>
          <w:tcPr>
            <w:tcW w:w="442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Mês de avaliação:</w:t>
            </w:r>
          </w:p>
        </w:tc>
      </w:tr>
    </w:tbl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Table2"/>
        <w:tblW w:w="9975" w:type="dxa"/>
        <w:jc w:val="left"/>
        <w:tblInd w:w="1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2145"/>
        <w:gridCol w:w="826"/>
        <w:gridCol w:w="2664"/>
        <w:gridCol w:w="532"/>
        <w:gridCol w:w="3808"/>
      </w:tblGrid>
      <w:tr>
        <w:trPr>
          <w:trHeight w:val="300" w:hRule="atLeast"/>
        </w:trPr>
        <w:tc>
          <w:tcPr>
            <w:tcW w:w="99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INDICADOR 01</w:t>
            </w:r>
          </w:p>
          <w:p>
            <w:pPr>
              <w:pStyle w:val="Normal"/>
              <w:spacing w:lineRule="auto" w:line="240" w:before="120" w:after="12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DA IMPLANTAÇÃO DOS SERVIÇOS</w:t>
            </w:r>
          </w:p>
        </w:tc>
      </w:tr>
      <w:tr>
        <w:trPr>
          <w:trHeight w:val="300" w:hRule="atLeast"/>
        </w:trPr>
        <w:tc>
          <w:tcPr>
            <w:tcW w:w="21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8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DESCRIÇÃO</w:t>
            </w:r>
          </w:p>
        </w:tc>
      </w:tr>
      <w:tr>
        <w:trPr>
          <w:trHeight w:val="540" w:hRule="atLeast"/>
        </w:trPr>
        <w:tc>
          <w:tcPr>
            <w:tcW w:w="21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78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Garantir a disponibilidade da solução.</w:t>
            </w:r>
          </w:p>
        </w:tc>
      </w:tr>
      <w:tr>
        <w:trPr>
          <w:trHeight w:val="1380" w:hRule="atLeast"/>
        </w:trPr>
        <w:tc>
          <w:tcPr>
            <w:tcW w:w="21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78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 Entregar de carta de apresentação do preposto, de cronograma de instalação e de cronograma de treinamento e disponibilizar c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anais de comunicação para abertura dos chamados técnicos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no prazo de 05 dias úteis contados da assinatura do contrato.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- Entregar </w:t>
            </w:r>
            <w:bookmarkStart w:id="0" w:name="gjdgxs"/>
            <w:bookmarkEnd w:id="0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Programa de Gerenciamento de Resíduos Sólidos ou Declaração de Sustentabilidade Ambiental na execução dos serviços no prazo de 15 dias úteis, contados a partir da data de assinatura do Contrato.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 Instalação de equipamentos de acordo com as especificações do edital.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 Pleno funcionamento do serviço no prazo de 30 dias corridos, contados do início da vigência do contrato.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-Treinamento dos fiscais para utilização dos equipamentos e softwares de acordo com o cronograma de treinamento.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- Entrega da relação dos equipamentos instalados, acompanhada das notas fiscais </w:t>
            </w:r>
            <w:bookmarkStart w:id="1" w:name="30j0zll"/>
            <w:bookmarkEnd w:id="1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do fabricante e licença ou carta do fabricante (quando não for do mesmo fabricante do equipamento homologando o funcionamento) de todos os </w:t>
            </w:r>
            <w:r>
              <w:rPr>
                <w:rFonts w:eastAsia="Times New Roman" w:cs="Times New Roman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 xml:space="preserve">softwares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</w:rPr>
              <w:t>instalados no prazo de 30 dias corridos, contados do início da vigência do contrato.</w:t>
            </w:r>
          </w:p>
        </w:tc>
      </w:tr>
      <w:tr>
        <w:trPr>
          <w:trHeight w:val="560" w:hRule="atLeast"/>
        </w:trPr>
        <w:tc>
          <w:tcPr>
            <w:tcW w:w="21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78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 Cronograma de instalação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 Cronograma de treinamento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 Livro de Ocorrências do Fiscal</w:t>
            </w:r>
          </w:p>
        </w:tc>
      </w:tr>
      <w:tr>
        <w:trPr>
          <w:trHeight w:val="920" w:hRule="atLeast"/>
        </w:trPr>
        <w:tc>
          <w:tcPr>
            <w:tcW w:w="21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78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 Conferência, pelo gestor do contrato, dos documentos entregues.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 Verificação, pelo fiscal do contrato, dos equipamentos instalados e de seu funcionamento.</w:t>
            </w:r>
          </w:p>
        </w:tc>
      </w:tr>
      <w:tr>
        <w:trPr>
          <w:trHeight w:val="300" w:hRule="atLeast"/>
        </w:trPr>
        <w:tc>
          <w:tcPr>
            <w:tcW w:w="21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78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Fase de implantação do Contrato. </w:t>
            </w:r>
          </w:p>
        </w:tc>
      </w:tr>
      <w:tr>
        <w:trPr>
          <w:trHeight w:val="300" w:hRule="atLeast"/>
        </w:trPr>
        <w:tc>
          <w:tcPr>
            <w:tcW w:w="21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78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Data de início da vigência do contrato.</w:t>
            </w:r>
          </w:p>
        </w:tc>
      </w:tr>
      <w:tr>
        <w:trPr>
          <w:trHeight w:val="5780" w:hRule="atLeast"/>
        </w:trPr>
        <w:tc>
          <w:tcPr>
            <w:tcW w:w="21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78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 Nota Mensal de Avaliação (NMA) será máxima se no período avaliado todos os documentos iniciais forem entregues no prazo determinado no termo de referência; se todos os equipamentos corresponderem aos requisitos do termo de referência; e se todos os equipamentos estiverem em pleno funcionamento no prazo máximo de 30 (trinta) dias corridos contados da Ordem de Início das Atividades.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 NMA máxima será 10 (dez), sendo calculada, para ajuste no faturamento, da seguinte forma: 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NMA = 10,0 – (Ʃ Pontos Perdidos).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single"/>
              </w:rPr>
              <w:t>Da perda de pontos: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 Contratada perderá pontos da NMA quando: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 Atrasar a entrega dos documentos iniciais exigidos no termo de referência: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Perda: 0,1 ponto perdido por dia de atraso.</w:t>
            </w:r>
          </w:p>
          <w:p>
            <w:pPr>
              <w:pStyle w:val="Normal"/>
              <w:spacing w:lineRule="auto" w:line="240" w:before="120" w:after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2 Os equipamentos não corresponderem aos requisitos exigidos no termo de referência: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Perda: 0,3 pontos por equipamento incompatível, acrescidos de 0,1 ponto por dia sem substituição do mesmo.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3 Atrasar o treinamento dos fiscais: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Perda: 0,1 ponto perdido por dia de atraso.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4 Atrasar o pleno funcionamento do serviço: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Perda: 0,3 pontos por dia de atraso por equipamento.</w:t>
            </w:r>
          </w:p>
        </w:tc>
      </w:tr>
      <w:tr>
        <w:trPr>
          <w:trHeight w:val="780" w:hRule="atLeast"/>
        </w:trPr>
        <w:tc>
          <w:tcPr>
            <w:tcW w:w="2145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Faixas de ajuste no pagamento</w:t>
            </w:r>
          </w:p>
        </w:tc>
        <w:tc>
          <w:tcPr>
            <w:tcW w:w="78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</w:tc>
      </w:tr>
      <w:tr>
        <w:trPr>
          <w:trHeight w:val="660" w:hRule="atLeast"/>
        </w:trPr>
        <w:tc>
          <w:tcPr>
            <w:tcW w:w="2145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Nota Mensal da Avaliação (NMA)</w:t>
            </w:r>
          </w:p>
        </w:tc>
        <w:tc>
          <w:tcPr>
            <w:tcW w:w="43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Desconto sobre o valor mensal do item contratado</w:t>
            </w:r>
          </w:p>
        </w:tc>
      </w:tr>
      <w:tr>
        <w:trPr>
          <w:trHeight w:val="220" w:hRule="atLeast"/>
        </w:trPr>
        <w:tc>
          <w:tcPr>
            <w:tcW w:w="2145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 9,5 a 10,0</w:t>
            </w:r>
          </w:p>
        </w:tc>
        <w:tc>
          <w:tcPr>
            <w:tcW w:w="43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0%</w:t>
            </w:r>
          </w:p>
        </w:tc>
      </w:tr>
      <w:tr>
        <w:trPr>
          <w:trHeight w:val="260" w:hRule="atLeast"/>
        </w:trPr>
        <w:tc>
          <w:tcPr>
            <w:tcW w:w="2145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 9,0 a 9,4</w:t>
            </w:r>
          </w:p>
        </w:tc>
        <w:tc>
          <w:tcPr>
            <w:tcW w:w="43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3%</w:t>
            </w:r>
          </w:p>
        </w:tc>
      </w:tr>
      <w:tr>
        <w:trPr>
          <w:trHeight w:val="240" w:hRule="atLeast"/>
        </w:trPr>
        <w:tc>
          <w:tcPr>
            <w:tcW w:w="2145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 8,5 a 8,9</w:t>
            </w:r>
          </w:p>
        </w:tc>
        <w:tc>
          <w:tcPr>
            <w:tcW w:w="43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6%</w:t>
            </w:r>
          </w:p>
        </w:tc>
      </w:tr>
      <w:tr>
        <w:trPr>
          <w:trHeight w:val="240" w:hRule="atLeast"/>
        </w:trPr>
        <w:tc>
          <w:tcPr>
            <w:tcW w:w="2145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 8,0 a 8,4:</w:t>
            </w:r>
          </w:p>
        </w:tc>
        <w:tc>
          <w:tcPr>
            <w:tcW w:w="43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9%</w:t>
            </w:r>
          </w:p>
        </w:tc>
      </w:tr>
      <w:tr>
        <w:trPr>
          <w:trHeight w:val="240" w:hRule="atLeast"/>
        </w:trPr>
        <w:tc>
          <w:tcPr>
            <w:tcW w:w="2145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de 7,5 a 7,9 </w:t>
            </w:r>
          </w:p>
        </w:tc>
        <w:tc>
          <w:tcPr>
            <w:tcW w:w="43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12%</w:t>
            </w:r>
          </w:p>
        </w:tc>
      </w:tr>
      <w:tr>
        <w:trPr>
          <w:trHeight w:val="240" w:hRule="atLeast"/>
        </w:trPr>
        <w:tc>
          <w:tcPr>
            <w:tcW w:w="2145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490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Abaixo de 7,4</w:t>
            </w:r>
          </w:p>
        </w:tc>
        <w:tc>
          <w:tcPr>
            <w:tcW w:w="4340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15%</w:t>
            </w:r>
          </w:p>
        </w:tc>
      </w:tr>
      <w:tr>
        <w:trPr>
          <w:trHeight w:val="260" w:hRule="atLeast"/>
        </w:trPr>
        <w:tc>
          <w:tcPr>
            <w:tcW w:w="214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7830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desconto na franquia referente a este indicador (01) é cumulativo com os demais descontos referentes aos outros indicadores (02, 03, 04, 05 e 06) presentes neste IMR.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IMR não restringe nem prejudica a aplicação das demais penalidades previstas no Edital de Licitação e seus anexos.</w:t>
            </w:r>
          </w:p>
        </w:tc>
      </w:tr>
      <w:tr>
        <w:trPr>
          <w:trHeight w:val="300" w:hRule="atLeast"/>
        </w:trPr>
        <w:tc>
          <w:tcPr>
            <w:tcW w:w="997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99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INDICADOR 02</w:t>
            </w:r>
          </w:p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USO DE UNIFORME, EPIs E CRACHÁS DE IDENTIFICAÇÃO</w:t>
            </w:r>
          </w:p>
        </w:tc>
      </w:tr>
      <w:tr>
        <w:trPr>
          <w:trHeight w:val="30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DESCRIÇÃO</w:t>
            </w:r>
          </w:p>
        </w:tc>
      </w:tr>
      <w:tr>
        <w:trPr>
          <w:trHeight w:val="30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Garantir a identificação e a segurança dos funcionários da contratada que circularem no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Campus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>.</w:t>
            </w:r>
          </w:p>
        </w:tc>
      </w:tr>
      <w:tr>
        <w:trPr>
          <w:trHeight w:val="32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 Os funcionários da contratada deverão utilizar uniforme e crachá de identificação.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- Os funcionários da contratada deverão utilizar os EPIs necessários à sua segurança durante a realização dos serviços.</w:t>
            </w:r>
          </w:p>
        </w:tc>
      </w:tr>
      <w:tr>
        <w:trPr>
          <w:trHeight w:val="30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Livro de ocorrências.</w:t>
            </w:r>
          </w:p>
        </w:tc>
      </w:tr>
      <w:tr>
        <w:trPr>
          <w:trHeight w:val="30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Verificação, pelo fiscal do contrato, na chegada dos funcionários da contratada que prestarão os serviços se estão uniformizados, identificados e se têm a sua disposição os EPIs necessários.</w:t>
            </w:r>
          </w:p>
        </w:tc>
      </w:tr>
      <w:tr>
        <w:trPr>
          <w:trHeight w:val="30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Mensal</w:t>
            </w:r>
          </w:p>
        </w:tc>
      </w:tr>
      <w:tr>
        <w:trPr>
          <w:trHeight w:val="30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Data de início da vigência do contrato.</w:t>
            </w:r>
          </w:p>
        </w:tc>
      </w:tr>
      <w:tr>
        <w:trPr>
          <w:trHeight w:val="14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 Nota Mensal de Avaliação (NMA) será máxima se no período avaliado todos os funcionários da contratada que prestaram serviço no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Campus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 xml:space="preserve"> estiverem devidamente uniformizados, identificados e dispuserem dos EPIs necessários à realização dos serviços.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 NMA máxima será 10 (dez), sendo calculada, para ajuste no faturamento, da seguinte forma: 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NMA = 10,0 – (Ʃ Pontos Perdidos).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single"/>
              </w:rPr>
              <w:t>Da perda de pontos: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 Contratada perderá pontos da NMA quando: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1 os funcionários da contratada que adentrarem 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Campus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 xml:space="preserve"> não estiverem devidamente uniformizados e identificados.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Perda: 0,2 pontos perdidos por ocorrência.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2 os funcionários da contratada que prestarem serviços no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Campus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 xml:space="preserve"> não dispuserem dos EPIs necessários à realização dos serviços.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Perda: 0,2 pontos perdidos por ocorrência.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Faixas de ajuste no faturamento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</w:tc>
      </w:tr>
      <w:tr>
        <w:trPr>
          <w:trHeight w:val="660" w:hRule="atLeast"/>
        </w:trPr>
        <w:tc>
          <w:tcPr>
            <w:tcW w:w="2971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Nota Mensal da Avaliação (NMA)</w:t>
            </w:r>
          </w:p>
        </w:tc>
        <w:tc>
          <w:tcPr>
            <w:tcW w:w="3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Desconto sobre o valor mensal do item contratado</w:t>
            </w:r>
          </w:p>
        </w:tc>
      </w:tr>
      <w:tr>
        <w:trPr>
          <w:trHeight w:val="180" w:hRule="atLeast"/>
        </w:trPr>
        <w:tc>
          <w:tcPr>
            <w:tcW w:w="2971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 9,5 a 10,0</w:t>
            </w:r>
          </w:p>
        </w:tc>
        <w:tc>
          <w:tcPr>
            <w:tcW w:w="3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0%</w:t>
            </w:r>
          </w:p>
        </w:tc>
      </w:tr>
      <w:tr>
        <w:trPr>
          <w:trHeight w:val="260" w:hRule="atLeast"/>
        </w:trPr>
        <w:tc>
          <w:tcPr>
            <w:tcW w:w="2971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 9,0 a 9,4</w:t>
            </w:r>
          </w:p>
        </w:tc>
        <w:tc>
          <w:tcPr>
            <w:tcW w:w="3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0,4%</w:t>
            </w:r>
          </w:p>
        </w:tc>
      </w:tr>
      <w:tr>
        <w:trPr>
          <w:trHeight w:val="380" w:hRule="atLeast"/>
        </w:trPr>
        <w:tc>
          <w:tcPr>
            <w:tcW w:w="2971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 8,5 a 8,9</w:t>
            </w:r>
          </w:p>
        </w:tc>
        <w:tc>
          <w:tcPr>
            <w:tcW w:w="3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0,8%</w:t>
            </w:r>
          </w:p>
        </w:tc>
      </w:tr>
      <w:tr>
        <w:trPr>
          <w:trHeight w:val="260" w:hRule="atLeast"/>
        </w:trPr>
        <w:tc>
          <w:tcPr>
            <w:tcW w:w="2971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de 8,0 a 8,4:</w:t>
            </w:r>
          </w:p>
        </w:tc>
        <w:tc>
          <w:tcPr>
            <w:tcW w:w="3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1,2%</w:t>
            </w:r>
          </w:p>
        </w:tc>
      </w:tr>
      <w:tr>
        <w:trPr>
          <w:trHeight w:val="260" w:hRule="atLeast"/>
        </w:trPr>
        <w:tc>
          <w:tcPr>
            <w:tcW w:w="2971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de 7,5 a 7,9 </w:t>
            </w:r>
          </w:p>
        </w:tc>
        <w:tc>
          <w:tcPr>
            <w:tcW w:w="3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1,6%</w:t>
            </w:r>
          </w:p>
        </w:tc>
      </w:tr>
      <w:tr>
        <w:trPr>
          <w:trHeight w:val="260" w:hRule="atLeast"/>
        </w:trPr>
        <w:tc>
          <w:tcPr>
            <w:tcW w:w="2971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196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Abaixo de 7,4</w:t>
            </w:r>
          </w:p>
        </w:tc>
        <w:tc>
          <w:tcPr>
            <w:tcW w:w="38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2%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desconto na franquia referente a este indicador (02) é cumulativo com os demais descontos referentes aos outros indicadores (01, 03. 04, 05 e 06) presentes neste IMR.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IMR não restringe nem prejudica a aplicação das demais penalidades previstas no Edital de Licitação e seus anexos.</w:t>
            </w:r>
          </w:p>
        </w:tc>
      </w:tr>
      <w:tr>
        <w:trPr>
          <w:trHeight w:val="780" w:hRule="atLeast"/>
        </w:trPr>
        <w:tc>
          <w:tcPr>
            <w:tcW w:w="997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99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INDICADOR 03</w:t>
            </w:r>
          </w:p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Atendimento e solução de dúvidas, incidentes, problemas e solicitações de serviços</w:t>
            </w:r>
          </w:p>
        </w:tc>
      </w:tr>
      <w:tr>
        <w:trPr>
          <w:trHeight w:val="48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DESCRIÇÃO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>disponibilidade da solução contratada.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Disponibilidade permanente das funcionalidades dos equipamentos e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</w:rPr>
              <w:t>softwares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Chamado técnico e registro no livro de ocorrências.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Acompanhamento, pelo fiscal do contrato, dos prazos para atendimento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e solução de dúvidas, incidentes, problemas e solicitações de serviços.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Mensal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Quando finalizada a fase de implantação da solução.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 Nota Mensal de Avaliação (NMA) será máxima se no período avaliado todos os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>chamados tiverem sido atendidos e solucionados nos prazos constantes no termo de referência.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 NMA máxima será 10 (dez), sendo calculada, para ajuste no faturamento, da seguinte forma: 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NMA = 10,0 – (Ʃ Pontos Perdidos).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single"/>
              </w:rPr>
              <w:t>Da perda de pontos: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 Contratada perderá pontos da NMA quando: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Atrasar no atendimento e solução de dúvidas, incidentes, problemas e solicitações de serviços.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Perda: 0,2 pontos perdidos por dia de atraso por solução solicitada.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Faixas de ajuste no faturamento</w:t>
            </w:r>
          </w:p>
        </w:tc>
        <w:tc>
          <w:tcPr>
            <w:tcW w:w="7004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  <w:tbl>
            <w:tblPr>
              <w:tblStyle w:val="Table3"/>
              <w:tblW w:w="7140" w:type="dxa"/>
              <w:jc w:val="left"/>
              <w:tblInd w:w="-112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val="0400"/>
            </w:tblPr>
            <w:tblGrid>
              <w:gridCol w:w="2995"/>
              <w:gridCol w:w="4144"/>
            </w:tblGrid>
            <w:tr>
              <w:trPr>
                <w:trHeight w:val="660" w:hRule="atLeast"/>
              </w:trPr>
              <w:tc>
                <w:tcPr>
                  <w:tcW w:w="29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D9D9D9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Nota Mensal da Avaliação (NMA)</w:t>
                  </w:r>
                </w:p>
              </w:tc>
              <w:tc>
                <w:tcPr>
                  <w:tcW w:w="41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D9D9D9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Desconto sobre o valor mensal do item contratado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29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9,5 a 10,0</w:t>
                  </w:r>
                </w:p>
              </w:tc>
              <w:tc>
                <w:tcPr>
                  <w:tcW w:w="41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9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9,0 a 9,4</w:t>
                  </w:r>
                </w:p>
              </w:tc>
              <w:tc>
                <w:tcPr>
                  <w:tcW w:w="41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2%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29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8,5 a 8,9</w:t>
                  </w:r>
                </w:p>
              </w:tc>
              <w:tc>
                <w:tcPr>
                  <w:tcW w:w="41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4%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9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8,0 a 8,4:</w:t>
                  </w:r>
                </w:p>
              </w:tc>
              <w:tc>
                <w:tcPr>
                  <w:tcW w:w="4144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6%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9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 xml:space="preserve">de 7,5 a 7,9 </w:t>
                  </w:r>
                </w:p>
              </w:tc>
              <w:tc>
                <w:tcPr>
                  <w:tcW w:w="41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995" w:type="dxa"/>
                  <w:tcBorders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Abaixo de 7,4</w:t>
                  </w:r>
                </w:p>
              </w:tc>
              <w:tc>
                <w:tcPr>
                  <w:tcW w:w="414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10%</w:t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desconto na fatura referente a este indicador (03) é cumulativo com os demais descontos referentes aos outros indicadores (01, 02, 04, 05 e 06) presentes neste IMR.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IMR não restringe nem prejudica a aplicação das demais penalidades previstas no Edital de Licitação e seus anexos.</w:t>
            </w:r>
          </w:p>
        </w:tc>
      </w:tr>
      <w:tr>
        <w:trPr>
          <w:trHeight w:val="780" w:hRule="atLeast"/>
        </w:trPr>
        <w:tc>
          <w:tcPr>
            <w:tcW w:w="9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99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INDICADOR 04</w:t>
            </w:r>
          </w:p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Qualidade das cópias, impressões e digitalizações</w:t>
            </w:r>
          </w:p>
        </w:tc>
      </w:tr>
      <w:tr>
        <w:trPr>
          <w:trHeight w:val="54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DESCRIÇÃO</w:t>
            </w:r>
          </w:p>
        </w:tc>
      </w:tr>
      <w:tr>
        <w:trPr>
          <w:trHeight w:val="56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>qualidade do serviço prestado.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Entregar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cópias, impressões e digitalizações com ótima qualidade: legíveis, nítidas, sem sombras ou riscos e sem danos ao papel.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Reclamações dos usuários e Livro de ocorrências.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Verificação, pelo fiscal do contrato, da qualidade da impressão, bem como, averiguação de reclamações dos usuários.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Mensal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Data de início da vigência do contrato.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 Nota Mensal de Avaliação (NMA) será máxima se no período avaliado todas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 xml:space="preserve">as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cópias, impressões e digitalizações tenham ótima qualidade: legíveis, nítidas, sem sombras ou riscos e sem danos ao papel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 NMA máxima será 10 (dez), sendo calculada, para ajuste no faturamento, da seguinte forma: 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NMA = 10,0 – (Ʃ Pontos Perdidos).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single"/>
              </w:rPr>
              <w:t>Da perda de pontos: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 Contratada perderá pontos da NMA quando: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entregar cópias, impressões e digitalizações de baixa qualidade.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Perda: 0,2 pontos perdidos por ocorrência registrada.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Faixas de ajuste no faturamento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  <w:tbl>
            <w:tblPr>
              <w:tblStyle w:val="Table4"/>
              <w:tblW w:w="7200" w:type="dxa"/>
              <w:jc w:val="left"/>
              <w:tblInd w:w="-112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val="0400"/>
            </w:tblPr>
            <w:tblGrid>
              <w:gridCol w:w="3180"/>
              <w:gridCol w:w="4019"/>
            </w:tblGrid>
            <w:tr>
              <w:trPr>
                <w:trHeight w:val="66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D9D9D9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Nota Mensal da Avaliação (NMA)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D9D9D9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Desconto sobre o valor mensal do item contratado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9,5 a 10,0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9,0 a 9,4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0,4%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8,5 a 8,9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0,8%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8,0 a 8,4: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1,2%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 xml:space="preserve">de 7,5 a 7,9 </w:t>
                  </w:r>
                </w:p>
              </w:tc>
              <w:tc>
                <w:tcPr>
                  <w:tcW w:w="40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1,6%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Abaixo de 7,4</w:t>
                  </w:r>
                </w:p>
              </w:tc>
              <w:tc>
                <w:tcPr>
                  <w:tcW w:w="401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2%</w:t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desconto na fatura referente a este indicador (04) é cumulativo com os demais descontos referentes aos outros indicadores (01, 02, 03, 05 e 06) presentes neste IMR.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IMR não restringe nem prejudica a aplicação das demais penalidades previstas no Edital de Licitação e seus anexos.</w:t>
            </w:r>
          </w:p>
        </w:tc>
      </w:tr>
      <w:tr>
        <w:trPr>
          <w:trHeight w:val="780" w:hRule="atLeast"/>
        </w:trPr>
        <w:tc>
          <w:tcPr>
            <w:tcW w:w="9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99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INDICADOR 05</w:t>
            </w:r>
          </w:p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Entrega de Papel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DESCRIÇÃO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Garantir a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>disponibilidade, em tempo integral, de papel para cópias e impressões.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Entregar o papel no prazo estipulado no termo de referência.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Solicitação de papel e registro no livro de ocorrências.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Acompanhamento, pelo fiscal do contrato, do prazo para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entrega do papel solicitado.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Mensal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Data de início da vigência do contrato.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 Nota Mensal de Avaliação (NMA) será máxima se no período avaliado todas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>as solicitações de papel tenham sido entregues dentro do prazo estipulado no termo de referência.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 NMA máxima será 10 (dez), sendo calculada, para ajuste no faturamento, da seguinte forma: 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NMA = 10,0 – (Ʃ Pontos Perdidos).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single"/>
              </w:rPr>
              <w:t>Da perda de pontos: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 Contratada perderá pontos da NMA quando: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 xml:space="preserve">atrasar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a entrega do papel solicitado: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Perda: 0,2 pontos perdidos por dia de atraso.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Faixas de ajuste no faturamento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  <w:tbl>
            <w:tblPr>
              <w:tblStyle w:val="Table5"/>
              <w:tblW w:w="7200" w:type="dxa"/>
              <w:jc w:val="left"/>
              <w:tblInd w:w="-112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val="0400"/>
            </w:tblPr>
            <w:tblGrid>
              <w:gridCol w:w="3180"/>
              <w:gridCol w:w="4019"/>
            </w:tblGrid>
            <w:tr>
              <w:trPr>
                <w:trHeight w:val="66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D9D9D9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Nota Mensal da Avaliação (NMA)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D9D9D9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Desconto sobre o valor mensal do item contratado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9,5 a 10,0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9,0 a 9,4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1%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8,5 a 8,9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2%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8,0 a 8,4:</w:t>
                  </w:r>
                </w:p>
              </w:tc>
              <w:tc>
                <w:tcPr>
                  <w:tcW w:w="401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3%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 xml:space="preserve">de 7,5 a 7,9 </w:t>
                  </w:r>
                </w:p>
              </w:tc>
              <w:tc>
                <w:tcPr>
                  <w:tcW w:w="40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4%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180" w:type="dxa"/>
                  <w:tcBorders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Abaixo de 7,4</w:t>
                  </w:r>
                </w:p>
              </w:tc>
              <w:tc>
                <w:tcPr>
                  <w:tcW w:w="401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5%</w:t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desconto na fatura referente a este indicador (05) é cumulativo com os demais descontos referentes aos outros indicadores (01, 02, 03, 04 e 06) presentes neste IMR.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IMR não restringe nem prejudica a aplicação das demais penalidades previstas no Edital de Licitação e seus anexos.</w:t>
            </w:r>
          </w:p>
        </w:tc>
      </w:tr>
      <w:tr>
        <w:trPr>
          <w:trHeight w:val="780" w:hRule="atLeast"/>
        </w:trPr>
        <w:tc>
          <w:tcPr>
            <w:tcW w:w="99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780" w:hRule="atLeast"/>
        </w:trPr>
        <w:tc>
          <w:tcPr>
            <w:tcW w:w="99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INDICADOR 06</w:t>
            </w:r>
          </w:p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Cumprimento dos prazos de entrega dos relatórios, das notas fiscais e demais documentos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DESCRIÇÃO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Garantir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>o cumprimento dos prazos de entrega de relatórios, notas fiscais e demais documentos a fim de evitar atrasos de pagamento.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Entregar os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relatórios, as notas fiscais e demais documentos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no prazo estipulado no termo de referência.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Livro de ocorrências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Acompanhamento, pelo gestor do contrato, do prazo para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</w:rPr>
              <w:t>entrega dos relatórios, das notas fiscais e demais documentos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Mensal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-1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Data de início da vigência do contrato.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 Nota Mensal de Avaliação (NMA) será máxima se no período avaliado tod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>os os prazos para entrega de relatórios, notas fiscais e demais documentos, estipulados no termo de referência ou solicitados pelo gestor e fiscal do contrato, forem cumpridos.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A NMA máxima será 10 (dez), sendo calculada, para ajuste no faturamento, da seguinte forma: 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NMA = 10,0 – (Ʃ Pontos Perdidos).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u w:val="single"/>
              </w:rPr>
              <w:t>Da perda de pontos: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 Contratada perderá pontos da NMA quando: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i w:val="false"/>
                <w:color w:val="000000"/>
                <w:sz w:val="22"/>
                <w:szCs w:val="22"/>
              </w:rPr>
              <w:t xml:space="preserve">atrasar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2"/>
                <w:szCs w:val="22"/>
              </w:rPr>
              <w:t>a entrega dos relatórios, das notas fiscais e demais documentos: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Perda: 0,3 pontos perdidos por dia de atraso.</w:t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Faixas de ajuste no faturamento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faturamento da Contratada será realizado na forma descrita abaixo, considerando-se as adequações em função do atendimento das metas preestabelecidas, realizando o ajuste exclusivamente sobre o valor mensal da franquia:</w:t>
            </w:r>
          </w:p>
          <w:tbl>
            <w:tblPr>
              <w:tblStyle w:val="Table6"/>
              <w:tblW w:w="6975" w:type="dxa"/>
              <w:jc w:val="left"/>
              <w:tblInd w:w="-112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val="0400"/>
            </w:tblPr>
            <w:tblGrid>
              <w:gridCol w:w="2875"/>
              <w:gridCol w:w="4099"/>
            </w:tblGrid>
            <w:tr>
              <w:trPr>
                <w:trHeight w:val="660" w:hRule="atLeast"/>
              </w:trPr>
              <w:tc>
                <w:tcPr>
                  <w:tcW w:w="28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D9D9D9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Nota Mensal da Avaliação (NMA)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D9D9D9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Desconto sobre o valor mensal do item contratado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28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9,5 a 10,0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8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9,0 a 9,4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0,4%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28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8,5 a 8,9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0,8%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8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de 8,0 a 8,4:</w:t>
                  </w:r>
                </w:p>
              </w:tc>
              <w:tc>
                <w:tcPr>
                  <w:tcW w:w="409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12" w:space="0" w:color="000001"/>
                    <w:insideH w:val="single" w:sz="6" w:space="0" w:color="000001"/>
                    <w:insideV w:val="single" w:sz="12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1,2%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8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 xml:space="preserve">de 7,5 a 7,9 </w:t>
                  </w:r>
                </w:p>
              </w:tc>
              <w:tc>
                <w:tcPr>
                  <w:tcW w:w="40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1,6%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2875" w:type="dxa"/>
                  <w:tcBorders>
                    <w:left w:val="single" w:sz="6" w:space="0" w:color="000001"/>
                    <w:bottom w:val="single" w:sz="6" w:space="0" w:color="000001"/>
                    <w:right w:val="single" w:sz="6" w:space="0" w:color="000001"/>
                    <w:insideH w:val="single" w:sz="6" w:space="0" w:color="000001"/>
                    <w:insideV w:val="single" w:sz="6" w:space="0" w:color="000001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Abaixo de 7,4</w:t>
                  </w:r>
                </w:p>
              </w:tc>
              <w:tc>
                <w:tcPr>
                  <w:tcW w:w="409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2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2"/>
                      <w:szCs w:val="22"/>
                    </w:rPr>
                    <w:t>2%</w:t>
                  </w:r>
                </w:p>
              </w:tc>
            </w:tr>
          </w:tbl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2971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7004" w:type="dxa"/>
            <w:gridSpan w:val="3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desconto na fatura referente a este indicador (06) é cumulativo com os demais descontos referentes aos outros indicadores (01, 02, 03, 04 e 05) presentes neste IMR.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O IMR não restringe nem prejudica a aplicação das demais penalidades previstas no Edital de Licitação e seus anexos.</w:t>
            </w:r>
          </w:p>
        </w:tc>
      </w:tr>
    </w:tbl>
    <w:p>
      <w:pPr>
        <w:pStyle w:val="Normal"/>
        <w:keepNext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tbl>
      <w:tblPr>
        <w:tblStyle w:val="Table7"/>
        <w:tblW w:w="99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24"/>
        <w:gridCol w:w="3324"/>
        <w:gridCol w:w="3324"/>
      </w:tblGrid>
      <w:tr>
        <w:trPr/>
        <w:tc>
          <w:tcPr>
            <w:tcW w:w="9972" w:type="dxa"/>
            <w:gridSpan w:val="3"/>
            <w:tcBorders/>
            <w:shd w:fill="auto" w:val="clea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99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RESUMO DO INSTRUMENTO DE MEDIÇÃO DE RESULTADO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(para preenchimento do fiscal de contrato)</w:t>
            </w:r>
          </w:p>
        </w:tc>
      </w:tr>
      <w:tr>
        <w:trPr/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INDICADOR</w:t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NOTA MENSAL DE AVALIAÇÃO</w:t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DESCONTO</w:t>
            </w:r>
          </w:p>
        </w:tc>
      </w:tr>
      <w:tr>
        <w:trPr/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Implantação dos serviços</w:t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Uso dos EPI's e uniformes</w:t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Atendimento e solução de dúvidas, incidentes problemas e solicitações de serviços</w:t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Qualidade das cópias e impressões</w:t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Entrega de papel</w:t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Cumprimento dos prazos de entrega de relatórios e demais documentos.</w:t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3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1134" w:right="1134" w:header="0" w:top="1134" w:footer="566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pranq eco sans">
    <w:charset w:val="01"/>
    <w:family w:val="swiss"/>
    <w:pitch w:val="default"/>
  </w:font>
  <w:font w:name="Cambria">
    <w:charset w:val="01"/>
    <w:family w:val="swiss"/>
    <w:pitch w:val="default"/>
  </w:font>
  <w:font w:name="Georgi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Ras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bottom w:val="single" w:sz="8" w:space="2" w:color="000001"/>
      </w:pBdr>
      <w:tabs>
        <w:tab w:val="center" w:pos="4818" w:leader="none"/>
        <w:tab w:val="right" w:pos="9637" w:leader="none"/>
      </w:tabs>
      <w:spacing w:lineRule="auto" w:line="240" w:before="0" w:after="0"/>
      <w:jc w:val="center"/>
      <w:rPr>
        <w:rFonts w:ascii="Arial" w:hAnsi="Arial" w:eastAsia="Arial" w:cs="Arial"/>
        <w:sz w:val="4"/>
        <w:szCs w:val="4"/>
      </w:rPr>
    </w:pPr>
    <w:r>
      <w:rPr>
        <w:rFonts w:eastAsia="Arial" w:cs="Arial" w:ascii="Arial" w:hAnsi="Arial"/>
        <w:sz w:val="4"/>
        <w:szCs w:val="4"/>
      </w:rPr>
    </w:r>
  </w:p>
  <w:p>
    <w:pPr>
      <w:pStyle w:val="Normal"/>
      <w:widowControl w:val="false"/>
      <w:tabs>
        <w:tab w:val="center" w:pos="4818" w:leader="none"/>
        <w:tab w:val="right" w:pos="9637" w:leader="none"/>
      </w:tabs>
      <w:spacing w:lineRule="auto" w:line="240" w:before="0" w:after="0"/>
      <w:jc w:val="center"/>
      <w:rPr>
        <w:rFonts w:ascii="Spranq eco sans" w:hAnsi="Spranq eco sans" w:eastAsia="Spranq eco sans" w:cs="Spranq eco sans"/>
        <w:color w:val="00000A"/>
        <w:sz w:val="18"/>
        <w:szCs w:val="18"/>
      </w:rPr>
    </w:pPr>
    <w:r>
      <w:rPr>
        <w:rFonts w:eastAsia="Spranq eco sans" w:cs="Spranq eco sans" w:ascii="Spranq eco sans" w:hAnsi="Spranq eco sans"/>
        <w:color w:val="00000A"/>
        <w:sz w:val="18"/>
        <w:szCs w:val="18"/>
      </w:rPr>
      <w:t>Comissão responsável pelos mapeamentos dos fluxos e padronizações dos processos de aquisições do Instituto Federal Catarinense.</w:t>
    </w:r>
  </w:p>
  <w:p>
    <w:pPr>
      <w:pStyle w:val="Normal"/>
      <w:widowControl w:val="false"/>
      <w:spacing w:lineRule="auto" w:line="240" w:before="0" w:after="0"/>
      <w:jc w:val="center"/>
      <w:rPr/>
    </w:pPr>
    <w:r>
      <w:rPr>
        <w:rFonts w:eastAsia="Rasa" w:cs="Rasa" w:ascii="Rasa" w:hAnsi="Rasa"/>
        <w:b/>
        <w:color w:val="00000A"/>
        <w:sz w:val="18"/>
        <w:szCs w:val="18"/>
      </w:rPr>
      <w:t>Portaria IFC/Reitoria no 117/2018, de 31 de Janeiro de 2019.</w:t>
    </w:r>
    <w:r>
      <w:rPr>
        <w:rFonts w:eastAsia="Times New Roman" w:cs="Times New Roman" w:ascii="Times New Roman" w:hAnsi="Times New Roman"/>
        <w:sz w:val="24"/>
        <w:szCs w:val="24"/>
      </w:rPr>
      <w:t xml:space="preserve">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jc w:val="center"/>
      <w:rPr>
        <w:rFonts w:ascii="Arial" w:hAnsi="Arial" w:eastAsia="Arial" w:cs="Arial"/>
        <w:sz w:val="24"/>
        <w:szCs w:val="24"/>
      </w:rPr>
    </w:pPr>
    <w:r>
      <w:rPr/>
      <w:drawing>
        <wp:inline distT="0" distB="0" distL="0" distR="0">
          <wp:extent cx="735965" cy="78359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1" t="-95" r="-10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Spranq eco sans" w:cs="Spranq eco sans" w:ascii="Spranq eco sans" w:hAnsi="Spranq eco sans"/>
      </w:rPr>
      <w:t>Ministério da Educação</w:t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Spranq eco sans" w:cs="Spranq eco sans" w:ascii="Spranq eco sans" w:hAnsi="Spranq eco sans"/>
      </w:rPr>
      <w:t>Secretaria de Educação Profissional e Tecnológica</w:t>
    </w:r>
  </w:p>
  <w:p>
    <w:pPr>
      <w:pStyle w:val="Normal"/>
      <w:widowControl w:val="false"/>
      <w:pBdr>
        <w:bottom w:val="single" w:sz="8" w:space="2" w:color="000001"/>
      </w:pBdr>
      <w:spacing w:lineRule="auto" w:line="240" w:before="0" w:after="0"/>
      <w:jc w:val="center"/>
      <w:rPr/>
    </w:pPr>
    <w:r>
      <w:rPr>
        <w:rFonts w:eastAsia="Spranq eco sans" w:cs="Spranq eco sans" w:ascii="Spranq eco sans" w:hAnsi="Spranq eco sans"/>
      </w:rPr>
      <w:t xml:space="preserve">Instituto Federal Catarinense </w:t>
    </w:r>
    <w:r>
      <w:rPr>
        <w:rFonts w:eastAsia="Spranq eco sans" w:cs="Spranq eco sans" w:ascii="Spranq eco sans" w:hAnsi="Spranq eco sans"/>
        <w:i/>
      </w:rPr>
      <w:t>Campus</w:t>
    </w:r>
    <w:r>
      <w:rPr>
        <w:rFonts w:eastAsia="Spranq eco sans" w:cs="Spranq eco sans" w:ascii="Spranq eco sans" w:hAnsi="Spranq eco sans"/>
      </w:rPr>
      <w:t xml:space="preserve"> Videira</w: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Spranq eco sans" w:hAnsi="Spranq eco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ascii="Spranq eco sans" w:hAnsi="Spranq eco sans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Spranq eco sans" w:hAnsi="Spranq eco sans"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pBdr>
        <w:bottom w:val="single" w:sz="8" w:space="4" w:color="4F81BD"/>
      </w:pBdr>
      <w:spacing w:lineRule="auto" w:line="240" w:before="0" w:after="300"/>
    </w:pPr>
    <w:rPr>
      <w:rFonts w:ascii="Cambria" w:hAnsi="Cambria" w:eastAsia="Cambria" w:cs="Cambria"/>
      <w:color w:val="17365D"/>
      <w:sz w:val="52"/>
      <w:szCs w:val="5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LibreOffice/5.1.5.2$Windows_X86_64 LibreOffice_project/7a864d8825610a8c07cfc3bc01dd4fce6a9447e5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